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31022" w14:textId="0414B036" w:rsidR="0029002C" w:rsidRDefault="0029002C">
      <w:pPr>
        <w:rPr>
          <w:lang w:val="en-US"/>
        </w:rPr>
      </w:pPr>
      <w:bookmarkStart w:id="0" w:name="_GoBack"/>
      <w:bookmarkEnd w:id="0"/>
    </w:p>
    <w:p w14:paraId="28B8B374" w14:textId="50C92695" w:rsidR="0029002C" w:rsidRDefault="0029002C">
      <w:pPr>
        <w:rPr>
          <w:lang w:val="en-US"/>
        </w:rPr>
      </w:pPr>
    </w:p>
    <w:p w14:paraId="4FD9F9DF" w14:textId="7853AE62" w:rsidR="0029002C" w:rsidRDefault="0029002C">
      <w:pPr>
        <w:rPr>
          <w:lang w:val="en-US"/>
        </w:rPr>
      </w:pPr>
    </w:p>
    <w:p w14:paraId="3D55E5A8" w14:textId="235821D8" w:rsidR="0029002C" w:rsidRDefault="0029002C">
      <w:pPr>
        <w:rPr>
          <w:lang w:val="en-US"/>
        </w:rPr>
      </w:pPr>
    </w:p>
    <w:p w14:paraId="07171DB6" w14:textId="1CDB721C" w:rsidR="0029002C" w:rsidRDefault="0029002C">
      <w:pPr>
        <w:rPr>
          <w:lang w:val="en-US"/>
        </w:rPr>
      </w:pPr>
    </w:p>
    <w:p w14:paraId="29B56F58" w14:textId="307D4E46" w:rsidR="0029002C" w:rsidRDefault="0029002C">
      <w:pPr>
        <w:rPr>
          <w:lang w:val="en-US"/>
        </w:rPr>
      </w:pPr>
    </w:p>
    <w:p w14:paraId="52309BF6" w14:textId="2DDBFF9D" w:rsidR="0029002C" w:rsidRDefault="0029002C">
      <w:pPr>
        <w:rPr>
          <w:lang w:val="en-US"/>
        </w:rPr>
      </w:pPr>
    </w:p>
    <w:p w14:paraId="6BE9FC4E" w14:textId="0A81271D" w:rsidR="0029002C" w:rsidRDefault="0029002C">
      <w:pPr>
        <w:rPr>
          <w:lang w:val="en-US"/>
        </w:rPr>
      </w:pPr>
    </w:p>
    <w:p w14:paraId="17C630DF" w14:textId="294D8A5E" w:rsidR="0029002C" w:rsidRDefault="0029002C">
      <w:pPr>
        <w:rPr>
          <w:lang w:val="en-US"/>
        </w:rPr>
      </w:pPr>
    </w:p>
    <w:p w14:paraId="1EC20A33" w14:textId="150DF609" w:rsidR="0029002C" w:rsidRDefault="0029002C">
      <w:pPr>
        <w:rPr>
          <w:lang w:val="en-US"/>
        </w:rPr>
      </w:pPr>
    </w:p>
    <w:p w14:paraId="53A470E3" w14:textId="668BA874" w:rsidR="0029002C" w:rsidRDefault="0029002C">
      <w:pPr>
        <w:rPr>
          <w:lang w:val="en-US"/>
        </w:rPr>
      </w:pPr>
    </w:p>
    <w:p w14:paraId="16CA4AE0" w14:textId="69A739F5" w:rsidR="0029002C" w:rsidRDefault="0029002C">
      <w:pPr>
        <w:rPr>
          <w:lang w:val="en-US"/>
        </w:rPr>
      </w:pPr>
    </w:p>
    <w:p w14:paraId="4F6749E3" w14:textId="488A7A28" w:rsidR="0029002C" w:rsidRDefault="0029002C">
      <w:pPr>
        <w:rPr>
          <w:lang w:val="en-US"/>
        </w:rPr>
      </w:pPr>
    </w:p>
    <w:p w14:paraId="037D3191" w14:textId="74E343C4" w:rsidR="0029002C" w:rsidRDefault="0029002C">
      <w:pPr>
        <w:rPr>
          <w:lang w:val="en-US"/>
        </w:rPr>
      </w:pPr>
    </w:p>
    <w:p w14:paraId="4DABA9F8" w14:textId="44E60892" w:rsidR="0029002C" w:rsidRDefault="00C237A1" w:rsidP="0029002C">
      <w:pPr>
        <w:jc w:val="center"/>
        <w:rPr>
          <w:lang w:val="en-US"/>
        </w:rPr>
      </w:pPr>
      <w:r w:rsidRPr="0029002C">
        <w:rPr>
          <w:lang w:val="en-US"/>
        </w:rPr>
        <w:t xml:space="preserve">Brief History </w:t>
      </w:r>
      <w:r>
        <w:rPr>
          <w:lang w:val="en-US"/>
        </w:rPr>
        <w:t>a</w:t>
      </w:r>
      <w:r w:rsidRPr="0029002C">
        <w:rPr>
          <w:lang w:val="en-US"/>
        </w:rPr>
        <w:t xml:space="preserve">nd Future </w:t>
      </w:r>
      <w:r>
        <w:rPr>
          <w:lang w:val="en-US"/>
        </w:rPr>
        <w:t>o</w:t>
      </w:r>
      <w:r w:rsidRPr="0029002C">
        <w:rPr>
          <w:lang w:val="en-US"/>
        </w:rPr>
        <w:t>f Cloning</w:t>
      </w:r>
    </w:p>
    <w:p w14:paraId="1485E8F4" w14:textId="1743AC4A" w:rsidR="0029002C" w:rsidRDefault="00C237A1" w:rsidP="0029002C">
      <w:pPr>
        <w:jc w:val="center"/>
        <w:rPr>
          <w:lang w:val="en-US"/>
        </w:rPr>
      </w:pPr>
      <w:r>
        <w:rPr>
          <w:lang w:val="en-US"/>
        </w:rPr>
        <w:t>Name</w:t>
      </w:r>
    </w:p>
    <w:p w14:paraId="4A71C4A8" w14:textId="0C2C011A" w:rsidR="0029002C" w:rsidRDefault="00C237A1" w:rsidP="0029002C">
      <w:pPr>
        <w:jc w:val="center"/>
        <w:rPr>
          <w:lang w:val="en-US"/>
        </w:rPr>
      </w:pPr>
      <w:r>
        <w:rPr>
          <w:lang w:val="en-US"/>
        </w:rPr>
        <w:t>Institution</w:t>
      </w:r>
    </w:p>
    <w:p w14:paraId="0F32EF2E" w14:textId="300E7C0C" w:rsidR="008B2AD3" w:rsidRDefault="008B2AD3" w:rsidP="0029002C">
      <w:pPr>
        <w:jc w:val="center"/>
        <w:rPr>
          <w:lang w:val="en-US"/>
        </w:rPr>
      </w:pPr>
    </w:p>
    <w:p w14:paraId="36B9A503" w14:textId="0AFC36F7" w:rsidR="008B2AD3" w:rsidRDefault="008B2AD3" w:rsidP="0029002C">
      <w:pPr>
        <w:jc w:val="center"/>
        <w:rPr>
          <w:lang w:val="en-US"/>
        </w:rPr>
      </w:pPr>
    </w:p>
    <w:p w14:paraId="08D5512A" w14:textId="7A976AE8" w:rsidR="008B2AD3" w:rsidRDefault="008B2AD3" w:rsidP="0029002C">
      <w:pPr>
        <w:jc w:val="center"/>
        <w:rPr>
          <w:lang w:val="en-US"/>
        </w:rPr>
      </w:pPr>
    </w:p>
    <w:p w14:paraId="1DED3E65" w14:textId="317F62C3" w:rsidR="008B2AD3" w:rsidRDefault="008B2AD3" w:rsidP="0029002C">
      <w:pPr>
        <w:jc w:val="center"/>
        <w:rPr>
          <w:lang w:val="en-US"/>
        </w:rPr>
      </w:pPr>
    </w:p>
    <w:p w14:paraId="7EFCA3E9" w14:textId="3D291004" w:rsidR="008B2AD3" w:rsidRDefault="008B2AD3" w:rsidP="0029002C">
      <w:pPr>
        <w:jc w:val="center"/>
        <w:rPr>
          <w:lang w:val="en-US"/>
        </w:rPr>
      </w:pPr>
    </w:p>
    <w:p w14:paraId="6B58325B" w14:textId="3190C326" w:rsidR="008B2AD3" w:rsidRDefault="008B2AD3" w:rsidP="0029002C">
      <w:pPr>
        <w:jc w:val="center"/>
        <w:rPr>
          <w:lang w:val="en-US"/>
        </w:rPr>
      </w:pPr>
    </w:p>
    <w:p w14:paraId="199B4679" w14:textId="74EB563D" w:rsidR="008B2AD3" w:rsidRDefault="008B2AD3" w:rsidP="0029002C">
      <w:pPr>
        <w:jc w:val="center"/>
        <w:rPr>
          <w:lang w:val="en-US"/>
        </w:rPr>
      </w:pPr>
    </w:p>
    <w:p w14:paraId="03584A8A" w14:textId="6D3044A8" w:rsidR="008B2AD3" w:rsidRDefault="008B2AD3" w:rsidP="0029002C">
      <w:pPr>
        <w:jc w:val="center"/>
        <w:rPr>
          <w:lang w:val="en-US"/>
        </w:rPr>
      </w:pPr>
    </w:p>
    <w:p w14:paraId="6FC6C788" w14:textId="37E198D4" w:rsidR="008B2AD3" w:rsidRDefault="008B2AD3" w:rsidP="0029002C">
      <w:pPr>
        <w:jc w:val="center"/>
        <w:rPr>
          <w:lang w:val="en-US"/>
        </w:rPr>
      </w:pPr>
    </w:p>
    <w:p w14:paraId="64B0D08F" w14:textId="6E3DEC17" w:rsidR="008B2AD3" w:rsidRDefault="008B2AD3" w:rsidP="0029002C">
      <w:pPr>
        <w:jc w:val="center"/>
        <w:rPr>
          <w:lang w:val="en-US"/>
        </w:rPr>
      </w:pPr>
    </w:p>
    <w:p w14:paraId="58972F02" w14:textId="3AF334EC" w:rsidR="008B2AD3" w:rsidRDefault="008B2AD3" w:rsidP="0029002C">
      <w:pPr>
        <w:jc w:val="center"/>
        <w:rPr>
          <w:lang w:val="en-US"/>
        </w:rPr>
      </w:pPr>
    </w:p>
    <w:p w14:paraId="1F42095E" w14:textId="436E2780" w:rsidR="008B2AD3" w:rsidRDefault="008B2AD3" w:rsidP="0029002C">
      <w:pPr>
        <w:jc w:val="center"/>
        <w:rPr>
          <w:lang w:val="en-US"/>
        </w:rPr>
      </w:pPr>
    </w:p>
    <w:p w14:paraId="73EE36DC" w14:textId="77777777" w:rsidR="008B2AD3" w:rsidRDefault="008B2AD3" w:rsidP="0029002C">
      <w:pPr>
        <w:jc w:val="center"/>
        <w:rPr>
          <w:lang w:val="en-US"/>
        </w:rPr>
      </w:pPr>
    </w:p>
    <w:p w14:paraId="03BB111B" w14:textId="69FF2CF1" w:rsidR="0029002C" w:rsidRDefault="00C237A1" w:rsidP="008B2AD3">
      <w:pPr>
        <w:spacing w:line="480" w:lineRule="auto"/>
        <w:ind w:firstLine="720"/>
        <w:jc w:val="center"/>
        <w:rPr>
          <w:lang w:val="en-US"/>
        </w:rPr>
      </w:pPr>
      <w:r w:rsidRPr="008B2AD3">
        <w:rPr>
          <w:lang w:val="en-US"/>
        </w:rPr>
        <w:lastRenderedPageBreak/>
        <w:t>Brief history and future of cloning</w:t>
      </w:r>
    </w:p>
    <w:p w14:paraId="3964BC11" w14:textId="773CECBD" w:rsidR="00AF6AB6" w:rsidRDefault="00C237A1" w:rsidP="008B2AD3">
      <w:pPr>
        <w:spacing w:line="480" w:lineRule="auto"/>
        <w:ind w:firstLine="720"/>
        <w:jc w:val="both"/>
        <w:rPr>
          <w:lang w:val="en-US"/>
        </w:rPr>
      </w:pPr>
      <w:r w:rsidRPr="000455F4">
        <w:rPr>
          <w:lang w:val="en-US"/>
        </w:rPr>
        <w:t>There have been various development within scientific research, which involve human development especially the human genome. Many scientists have involved themselves in consideration of how life works, and thus over the years, there has been a significant revolution in trying to understand how different human biological cells can be replicated to create an advanced human. However the scientific revolution regarding how human body functions has been a greater source of concern in different societies. These issues have brought about a renewed debate in the manner in which human scientific development is being advanced.</w:t>
      </w:r>
      <w:r>
        <w:rPr>
          <w:lang w:val="en-US"/>
        </w:rPr>
        <w:t xml:space="preserve"> Cloning has been a significant transformation within the medical world which provide individual with the ability to transform their physical wellbeing. However, there have been significant issues relating to the development and application of cloning within the medical world. </w:t>
      </w:r>
    </w:p>
    <w:p w14:paraId="3BF6E872" w14:textId="02A420FC" w:rsidR="000455F4" w:rsidRDefault="00C237A1" w:rsidP="008B2AD3">
      <w:pPr>
        <w:spacing w:line="480" w:lineRule="auto"/>
        <w:ind w:firstLine="720"/>
        <w:jc w:val="both"/>
        <w:rPr>
          <w:lang w:val="en-US"/>
        </w:rPr>
      </w:pPr>
      <w:r>
        <w:rPr>
          <w:lang w:val="en-US"/>
        </w:rPr>
        <w:t>Despite the underlying challenges, cloning has undergone significant transformation and has been considered as a solution to diverse medical challenges that are faced by individuals.</w:t>
      </w:r>
      <w:r w:rsidRPr="000455F4">
        <w:rPr>
          <w:rFonts w:cs="Times New Roman"/>
          <w:szCs w:val="24"/>
          <w:lang w:val="en-US"/>
        </w:rPr>
        <w:t xml:space="preserve"> </w:t>
      </w:r>
      <w:r w:rsidRPr="000455F4">
        <w:rPr>
          <w:lang w:val="en-US"/>
        </w:rPr>
        <w:t>Cloning that was done during the early days included only restructuring the deformed parts of an organism and replacing with a different part that has similar gene composition with the original part. This type of cloning was dignified even today it is recommended but the idea of coming up with a completely different organism but the having same gene composition as the donor has been received with much criticism other individuals and clerics insinuating that is operating contrary to the guiding principles and ethics. Thus cloning human cloning is receiving a fair share of mixed reaction with varying argument raised either supporting the idea or generally against this scientific innovation in biology</w:t>
      </w:r>
      <w:r w:rsidR="0029002C">
        <w:rPr>
          <w:lang w:val="en-US"/>
        </w:rPr>
        <w:t xml:space="preserve"> </w:t>
      </w:r>
      <w:r w:rsidR="0029002C" w:rsidRPr="0029002C">
        <w:rPr>
          <w:lang w:val="en-US"/>
        </w:rPr>
        <w:t>(</w:t>
      </w:r>
      <w:r w:rsidR="0029002C" w:rsidRPr="0029002C">
        <w:t>Markert &amp; Backer, 2003). </w:t>
      </w:r>
    </w:p>
    <w:p w14:paraId="56C447A9" w14:textId="47A19499" w:rsidR="000455F4" w:rsidRDefault="00C237A1" w:rsidP="008B2AD3">
      <w:pPr>
        <w:spacing w:line="480" w:lineRule="auto"/>
        <w:ind w:firstLine="720"/>
        <w:jc w:val="both"/>
        <w:rPr>
          <w:lang w:val="en-US"/>
        </w:rPr>
      </w:pPr>
      <w:r>
        <w:rPr>
          <w:lang w:val="en-US"/>
        </w:rPr>
        <w:lastRenderedPageBreak/>
        <w:t>The cloning process integrates different aspects which must be adequately defined</w:t>
      </w:r>
      <w:r w:rsidR="007A44D4">
        <w:rPr>
          <w:lang w:val="en-US"/>
        </w:rPr>
        <w:t>. The somatic cell nuclear transfer is the conventional method used in humans.  However, prior to cloning in humans, there have been significant tests carried out on animals which have been successful prompting focus on human development. The somatic cell nuclear was used in cloning dolly sheep which had substantial success</w:t>
      </w:r>
      <w:r w:rsidR="008B2AD3">
        <w:rPr>
          <w:lang w:val="en-US"/>
        </w:rPr>
        <w:t xml:space="preserve"> </w:t>
      </w:r>
      <w:r w:rsidR="008B2AD3">
        <w:rPr>
          <w:lang w:val="en-US"/>
        </w:rPr>
        <w:fldChar w:fldCharType="begin" w:fldLock="1"/>
      </w:r>
      <w:r w:rsidR="008B2AD3">
        <w:rPr>
          <w:lang w:val="en-US"/>
        </w:rPr>
        <w:instrText>ADDIN CSL_CITATION {"citationItems":[{"id":"ITEM-1","itemData":{"DOI":"10.1016/j.tplants.2005.04.008","ISSN":"13601385","abstract":"Recent technical advancements and refinement of analytical methods have enabled the loci (quantitative trait loci, QTLs) responsible for the genetic control of quantitative traits to be dissected molecularly. To date, most plant QTLs have been cloned using a positional cloning approach following identification in experimental crosses. In some cases, an association between sequence variation at a candidate gene and a phenotype has been established by analysing existing genetic accessions. These strategies can be refined using appropriate genetic materials and the latest developments in genomics platforms. We foresee that although QTL analysis and cloning addressing naturally occurring genetic variation should shed light on mechanisms of plant adaptation, a greater emphasis on approaches relying on mutagenesis and candidate gene validation is likely to accelerate the pace of discovering the genes underlying QTLs. © 2005 Elsevier Ltd. All rights reserved.","author":[{"dropping-particle":"","family":"Salvi","given":"Silvio","non-dropping-particle":"","parse-names":false,"suffix":""},{"dropping-particle":"","family":"Tuberosa","given":"Roberto","non-dropping-particle":"","parse-names":false,"suffix":""}],"container-title":"Trends in Plant Science","id":"ITEM-1","issued":{"date-parts":[["2005"]]},"title":"To clone or not to clone plant QTLs: Present and future challenges","type":"article"},"uris":["http://www.mendeley.com/documents/?uuid=3cd0504c-2d26-4bea-9c2c-8d2a15a3966c","http://www.mendeley.com/documents/?uuid=c2ee35da-7965-4bd5-80d3-c9bc3576cf80"]}],"mendeley":{"formattedCitation":"(Salvi &amp; Tuberosa, 2005)","plainTextFormattedCitation":"(Salvi &amp; Tuberosa, 2005)","previouslyFormattedCitation":"(Salvi &amp; Tuberosa, 2005)"},"properties":{"noteIndex":0},"schema":"https://github.com/citation-style-language/schema/raw/master/csl-citation.json"}</w:instrText>
      </w:r>
      <w:r w:rsidR="008B2AD3">
        <w:rPr>
          <w:lang w:val="en-US"/>
        </w:rPr>
        <w:fldChar w:fldCharType="separate"/>
      </w:r>
      <w:r w:rsidR="008B2AD3" w:rsidRPr="008B2AD3">
        <w:rPr>
          <w:noProof/>
          <w:lang w:val="en-US"/>
        </w:rPr>
        <w:t>(Salvi &amp; Tuberosa, 2005)</w:t>
      </w:r>
      <w:r w:rsidR="008B2AD3">
        <w:rPr>
          <w:lang w:val="en-US"/>
        </w:rPr>
        <w:fldChar w:fldCharType="end"/>
      </w:r>
      <w:r w:rsidR="007A44D4">
        <w:rPr>
          <w:lang w:val="en-US"/>
        </w:rPr>
        <w:t xml:space="preserve">. The process involves a physician taking an egg from a donor and remove nucleus which in turn develops enucleated egg. The enucleated egg is then fused with a cell that contains DNA molecules. Therefore the explanation of this process is evaluated based on a negative feedback loop. </w:t>
      </w:r>
      <w:r w:rsidR="007A44D4" w:rsidRPr="007A44D4">
        <w:rPr>
          <w:lang w:val="en-US"/>
        </w:rPr>
        <w:t>It is designed to allow different mechanisms and consequences of the genetic and epigenetic aberrations that are usually involved in nuclear transfer activities. These cells include the somatic cells nuclear transfer embryos, in vitro produced embryos and other types of embryos that have been produced by the natural way of mating</w:t>
      </w:r>
      <w:r w:rsidR="0029002C">
        <w:rPr>
          <w:lang w:val="en-US"/>
        </w:rPr>
        <w:t xml:space="preserve"> (</w:t>
      </w:r>
      <w:r w:rsidR="0029002C" w:rsidRPr="0029002C">
        <w:t>Gurdon &amp; Colman, 1999).</w:t>
      </w:r>
    </w:p>
    <w:p w14:paraId="5A08E44B" w14:textId="1C9D5F7E" w:rsidR="007A44D4" w:rsidRDefault="00C237A1" w:rsidP="008B2AD3">
      <w:pPr>
        <w:spacing w:line="480" w:lineRule="auto"/>
        <w:ind w:firstLine="720"/>
        <w:jc w:val="both"/>
        <w:rPr>
          <w:lang w:val="en-US"/>
        </w:rPr>
      </w:pPr>
      <w:r>
        <w:rPr>
          <w:lang w:val="en-US"/>
        </w:rPr>
        <w:t>Gene mutation provides a unique understanding of the underlying changes which define the transformation. Therefore in gene mutation, two kinds of DNA are first separated.</w:t>
      </w:r>
      <w:r w:rsidRPr="007A44D4">
        <w:rPr>
          <w:lang w:val="en-US"/>
        </w:rPr>
        <w:t xml:space="preserve"> Then another DNA from a different organism that includes the gene V. both the plasmid and the gene V source are both treated with an enzyme. Then the cut DNA is mixed, and the DNA ligase is added joining the two pair of DNA molecules by way of covalent bonding. The recombinant bacterium the reproduces to form clone cells. This method can be used to create a large number of copies using the same DNA samples</w:t>
      </w:r>
      <w:r w:rsidR="0029002C">
        <w:rPr>
          <w:lang w:val="en-US"/>
        </w:rPr>
        <w:t xml:space="preserve"> (</w:t>
      </w:r>
      <w:r w:rsidR="0029002C" w:rsidRPr="0029002C">
        <w:t>DiBerardino,</w:t>
      </w:r>
      <w:r w:rsidR="0029002C">
        <w:rPr>
          <w:lang w:val="en-US"/>
        </w:rPr>
        <w:t xml:space="preserve"> </w:t>
      </w:r>
      <w:r w:rsidR="0029002C" w:rsidRPr="0029002C">
        <w:t>2002). </w:t>
      </w:r>
    </w:p>
    <w:p w14:paraId="1DE842F6" w14:textId="13827136" w:rsidR="007E3C2B" w:rsidRPr="007E3C2B" w:rsidRDefault="00C237A1" w:rsidP="008B2AD3">
      <w:pPr>
        <w:spacing w:line="480" w:lineRule="auto"/>
        <w:ind w:firstLine="720"/>
        <w:jc w:val="both"/>
        <w:rPr>
          <w:lang w:val="en-US"/>
        </w:rPr>
      </w:pPr>
      <w:r w:rsidRPr="007E3C2B">
        <w:rPr>
          <w:lang w:val="en-US"/>
        </w:rPr>
        <w:t xml:space="preserve">The various concerns that are arising from scientific development involving human genetic research have been classified into six categories, which are a major source of debate globally. They include human genomes and identity, human genetics and predicting the future, human genetics and revealing the past. Others include manipulating human genomes, ownership, and control of human and genetic information and genomes, souls and destiny. The technological advancement in biology has reshaped the underlying reasoning, which tends to </w:t>
      </w:r>
      <w:r w:rsidRPr="007E3C2B">
        <w:rPr>
          <w:lang w:val="en-US"/>
        </w:rPr>
        <w:lastRenderedPageBreak/>
        <w:t>undermine the very basic core principles that guide the very existence of humanity. Thus, these main challenges have provided an inhibiting factor to further developments involving human genetic development</w:t>
      </w:r>
      <w:r w:rsidR="008B2AD3">
        <w:rPr>
          <w:lang w:val="en-US"/>
        </w:rPr>
        <w:t xml:space="preserve"> </w:t>
      </w:r>
      <w:r w:rsidR="008B2AD3">
        <w:rPr>
          <w:lang w:val="en-US"/>
        </w:rPr>
        <w:fldChar w:fldCharType="begin" w:fldLock="1"/>
      </w:r>
      <w:r w:rsidR="008B2AD3">
        <w:rPr>
          <w:lang w:val="en-US"/>
        </w:rPr>
        <w:instrText>ADDIN CSL_CITATION {"citationItems":[{"id":"ITEM-1","itemData":{"DOI":"10.1201/b16568","ISBN":"9781482239072","abstract":"&lt;p&gt; Wheat ( &lt;italic&gt;Triticum aestivum&lt;/italic&gt; L.), with a large genome (16000 Mb) and high proportion ( &lt;math&gt; &lt;mo&gt;</w:instrText>
      </w:r>
      <w:r w:rsidR="008B2AD3">
        <w:rPr>
          <w:rFonts w:ascii="Cambria Math" w:hAnsi="Cambria Math" w:cs="Cambria Math"/>
          <w:lang w:val="en-US"/>
        </w:rPr>
        <w:instrText>∼</w:instrText>
      </w:r>
      <w:r w:rsidR="008B2AD3">
        <w:rPr>
          <w:lang w:val="en-US"/>
        </w:rPr>
        <w:instrText>&lt;/mo&gt; &lt;/math&gt; 80%) of repetitive sequences, has been a difficult crop for genomics research. However, the availability of extensive cytogenetics stocks has been an asset, which facilitated significant progress in wheat genomic research in recent years. For instance, fairly dense molecular maps (both genetic and physical maps) and a large set of ESTs allowed genome-wide identification of gene-rich and gene-poor regions as well as QTL including eQTL. The availability of markers associated with major economic traits also allowed development of major programs on marker-assisted selection (MAS) in some countries, and facilitated map-based cloning of a number of genes/QTL. Resources for functional genomics including TILLING and RNA interference (RNAi) along with some new approaches like epigenetics and association mapping are also being successfully used for wheat genomics research. BAC/BIBAC libraries for the subgenome D and some individual chromosomes have also been prepared to facilitate sequencing of gene space. In this brief review, we discuss all these advances in some detail, and also describe briefly the available resources, which can be used for future genomics research in this important crop. &lt;/p&gt;","author":[{"dropping-particle":"","family":"Gupta","given":"P. K.","non-dropping-particle":"","parse-names":false,"suffix":""},{"dropping-particle":"","family":"Mir","given":"R. R.","non-dropping-particle":"","parse-names":false,"suffix":""},{"dropping-particle":"","family":"Mohan","given":"A.","non-dropping-particle":"","parse-names":false,"suffix":""},{"dropping-particle":"","family":"Kumar","given":"J.","non-dropping-particle":"","parse-names":false,"suffix":""}],"container-title":"The Role of Bioinformatics in Agriculture","id":"ITEM-1","issued":{"date-parts":[["2014"]]},"title":"Wheat genomics: Present status and future prospects","type":"chapter"},"uris":["http://www.mendeley.com/documents/?uuid=236c8399-9670-43ae-a772-4e9860cc288c","http://www.mendeley.com/documents/?uuid=97ff450f-96a3-48e5-9d81-c02a546eae47"]}],"mendeley":{"formattedCitation":"(Gupta, Mir, Mohan, &amp; Kumar, 2014)","plainTextFormattedCitation":"(Gupta, Mir, Mohan, &amp; Kumar, 2014)","previouslyFormattedCitation":"(Gupta, Mir, Mohan, &amp; Kumar, 2014)"},"properties":{"noteIndex":0},"schema":"https://github.com/citation-style-language/schema/raw/master/csl-citation.json"}</w:instrText>
      </w:r>
      <w:r w:rsidR="008B2AD3">
        <w:rPr>
          <w:lang w:val="en-US"/>
        </w:rPr>
        <w:fldChar w:fldCharType="separate"/>
      </w:r>
      <w:r w:rsidR="008B2AD3" w:rsidRPr="008B2AD3">
        <w:rPr>
          <w:noProof/>
          <w:lang w:val="en-US"/>
        </w:rPr>
        <w:t>(Gupta, Mir, Mohan, &amp; Kumar, 2014)</w:t>
      </w:r>
      <w:r w:rsidR="008B2AD3">
        <w:rPr>
          <w:lang w:val="en-US"/>
        </w:rPr>
        <w:fldChar w:fldCharType="end"/>
      </w:r>
      <w:r w:rsidRPr="007E3C2B">
        <w:rPr>
          <w:lang w:val="en-US"/>
        </w:rPr>
        <w:t>.</w:t>
      </w:r>
    </w:p>
    <w:p w14:paraId="681F0546" w14:textId="41893852" w:rsidR="007E3C2B" w:rsidRDefault="00C237A1" w:rsidP="008B2AD3">
      <w:pPr>
        <w:spacing w:line="480" w:lineRule="auto"/>
        <w:ind w:firstLine="720"/>
        <w:jc w:val="both"/>
        <w:rPr>
          <w:lang w:val="en-US"/>
        </w:rPr>
      </w:pPr>
      <w:r>
        <w:rPr>
          <w:lang w:val="en-US"/>
        </w:rPr>
        <w:t>Various cloning techniques have been used over the years which have provided a strong emphasis on essential elements that help define better changes. The focus on nuclear transplantation has been a significant form of cloning over the years which can be traced  mid-20</w:t>
      </w:r>
      <w:r w:rsidRPr="006907F5">
        <w:rPr>
          <w:vertAlign w:val="superscript"/>
          <w:lang w:val="en-US"/>
        </w:rPr>
        <w:t>th</w:t>
      </w:r>
      <w:r>
        <w:rPr>
          <w:lang w:val="en-US"/>
        </w:rPr>
        <w:t xml:space="preserve"> century. Therefore there are significant changes that have been put in place regarding the approach to cloning in the current setting boosted by the ever-changing innovation which outlines new approaches that can help identify these changes. The major concern, however, has been the development of cloning in the future especially considering the divided opinion that different stakeholders within the society hold regarding cloning</w:t>
      </w:r>
      <w:r w:rsidR="0029002C">
        <w:rPr>
          <w:lang w:val="en-US"/>
        </w:rPr>
        <w:t xml:space="preserve"> </w:t>
      </w:r>
      <w:r w:rsidR="0029002C" w:rsidRPr="0029002C">
        <w:rPr>
          <w:lang w:val="en-US"/>
        </w:rPr>
        <w:t xml:space="preserve"> (</w:t>
      </w:r>
      <w:r w:rsidR="0029002C" w:rsidRPr="0029002C">
        <w:t>Gurdon &amp; Colman, 1999).</w:t>
      </w:r>
    </w:p>
    <w:p w14:paraId="3B03C6B5" w14:textId="3425035F" w:rsidR="006907F5" w:rsidRPr="006907F5" w:rsidRDefault="00C237A1" w:rsidP="008B2AD3">
      <w:pPr>
        <w:spacing w:line="480" w:lineRule="auto"/>
        <w:ind w:firstLine="720"/>
        <w:jc w:val="both"/>
        <w:rPr>
          <w:lang w:val="en-US"/>
        </w:rPr>
      </w:pPr>
      <w:r>
        <w:rPr>
          <w:lang w:val="en-US"/>
        </w:rPr>
        <w:t xml:space="preserve">Ethical, legal and moral aspects have been crucial in influencing the development of cloning technology. </w:t>
      </w:r>
      <w:r w:rsidRPr="006907F5">
        <w:rPr>
          <w:lang w:val="en-US"/>
        </w:rPr>
        <w:t>Human cloning is a contentious issue, which should critical considered adequately before its application. In its current state, going ahead with its application would a huge violation of the very many fundamental aspects that we hold dear to our lives.</w:t>
      </w:r>
      <w:r>
        <w:rPr>
          <w:lang w:val="en-US"/>
        </w:rPr>
        <w:t xml:space="preserve"> </w:t>
      </w:r>
      <w:r w:rsidRPr="006907F5">
        <w:rPr>
          <w:lang w:val="en-US"/>
        </w:rPr>
        <w:t>Many experiments that have been carried out about cloning have failed terribly. It took many attempts for the first cloning on the sheep to take place. However, the sheep ends up dying a few years' later meaning that the cloned animals could not last for many years as compared to animals produced through sexual means.  Gene diversity is created by the underlying different genetic composition between individuals. Cloning has been considered as an essential approach in reducing chronic illnesses that are inherited due to change in affected cells through artificial means. However, the validity and reliability of these methods have remained a significant issue which is detrimental to the successful application of these changes</w:t>
      </w:r>
      <w:r w:rsidR="0029002C">
        <w:rPr>
          <w:lang w:val="en-US"/>
        </w:rPr>
        <w:t xml:space="preserve"> </w:t>
      </w:r>
      <w:r w:rsidR="0029002C" w:rsidRPr="0029002C">
        <w:rPr>
          <w:lang w:val="en-US"/>
        </w:rPr>
        <w:t>(</w:t>
      </w:r>
      <w:r w:rsidR="0029002C" w:rsidRPr="0029002C">
        <w:t>DiBerardino,</w:t>
      </w:r>
      <w:r w:rsidR="0029002C" w:rsidRPr="0029002C">
        <w:rPr>
          <w:lang w:val="en-US"/>
        </w:rPr>
        <w:t xml:space="preserve"> </w:t>
      </w:r>
      <w:r w:rsidR="0029002C" w:rsidRPr="0029002C">
        <w:t>2002). </w:t>
      </w:r>
    </w:p>
    <w:p w14:paraId="78D5340D" w14:textId="52CA0843" w:rsidR="006907F5" w:rsidRDefault="00C237A1" w:rsidP="008B2AD3">
      <w:pPr>
        <w:spacing w:line="480" w:lineRule="auto"/>
        <w:ind w:firstLine="720"/>
        <w:jc w:val="both"/>
        <w:rPr>
          <w:lang w:val="en-US"/>
        </w:rPr>
      </w:pPr>
      <w:r w:rsidRPr="006907F5">
        <w:rPr>
          <w:lang w:val="en-US"/>
        </w:rPr>
        <w:lastRenderedPageBreak/>
        <w:t>The fact that many of the previous trials have failed, it does not make sense why all the hype was surrounding cloning that it is going to be a success. There is a need to develop other essential and sophisticated criteria in which cloning can be based upon. Therefore, the current general feeling is that the whole process involving cloning is risky and very dangerous. In any development of a new scientific technique, the success rate is a significant consideration of whether it should be applied or not. Thus, in this case, the success rate of cloning is an essential factor as well, and it is a clear indication that application of cloning does not certify the required standards into being considered as an option</w:t>
      </w:r>
      <w:r w:rsidR="008B2AD3">
        <w:rPr>
          <w:lang w:val="en-US"/>
        </w:rPr>
        <w:t xml:space="preserve"> </w:t>
      </w:r>
      <w:r w:rsidR="008B2AD3">
        <w:rPr>
          <w:lang w:val="en-US"/>
        </w:rPr>
        <w:fldChar w:fldCharType="begin" w:fldLock="1"/>
      </w:r>
      <w:r w:rsidR="008B2AD3">
        <w:rPr>
          <w:lang w:val="en-US"/>
        </w:rPr>
        <w:instrText>ADDIN CSL_CITATION {"citationItems":[{"id":"ITEM-1","itemData":{"DOI":"10.1016/j.tplants.2005.04.008","ISSN":"13601385","abstract":"Recent technical advancements and refinement of analytical methods have enabled the loci (quantitative trait loci, QTLs) responsible for the genetic control of quantitative traits to be dissected molecularly. To date, most plant QTLs have been cloned using a positional cloning approach following identification in experimental crosses. In some cases, an association between sequence variation at a candidate gene and a phenotype has been established by analysing existing genetic accessions. These strategies can be refined using appropriate genetic materials and the latest developments in genomics platforms. We foresee that although QTL analysis and cloning addressing naturally occurring genetic variation should shed light on mechanisms of plant adaptation, a greater emphasis on approaches relying on mutagenesis and candidate gene validation is likely to accelerate the pace of discovering the genes underlying QTLs. © 2005 Elsevier Ltd. All rights reserved.","author":[{"dropping-particle":"","family":"Salvi","given":"Silvio","non-dropping-particle":"","parse-names":false,"suffix":""},{"dropping-particle":"","family":"Tuberosa","given":"Roberto","non-dropping-particle":"","parse-names":false,"suffix":""}],"container-title":"Trends in Plant Science","id":"ITEM-1","issued":{"date-parts":[["2005"]]},"title":"To clone or not to clone plant QTLs: Present and future challenges","type":"article"},"uris":["http://www.mendeley.com/documents/?uuid=c2ee35da-7965-4bd5-80d3-c9bc3576cf80"]}],"mendeley":{"formattedCitation":"(Salvi &amp; Tuberosa, 2005)","plainTextFormattedCitation":"(Salvi &amp; Tuberosa, 2005)","previouslyFormattedCitation":"(Salvi &amp; Tuberosa, 2005)"},"properties":{"noteIndex":0},"schema":"https://github.com/citation-style-language/schema/raw/master/csl-citation.json"}</w:instrText>
      </w:r>
      <w:r w:rsidR="008B2AD3">
        <w:rPr>
          <w:lang w:val="en-US"/>
        </w:rPr>
        <w:fldChar w:fldCharType="separate"/>
      </w:r>
      <w:r w:rsidR="008B2AD3" w:rsidRPr="008B2AD3">
        <w:rPr>
          <w:noProof/>
          <w:lang w:val="en-US"/>
        </w:rPr>
        <w:t>(Salvi &amp; Tuberosa, 2005)</w:t>
      </w:r>
      <w:r w:rsidR="008B2AD3">
        <w:rPr>
          <w:lang w:val="en-US"/>
        </w:rPr>
        <w:fldChar w:fldCharType="end"/>
      </w:r>
      <w:r>
        <w:rPr>
          <w:lang w:val="en-US"/>
        </w:rPr>
        <w:t>.</w:t>
      </w:r>
    </w:p>
    <w:p w14:paraId="38A5CB86" w14:textId="14CB7EFD" w:rsidR="006907F5" w:rsidRPr="006907F5" w:rsidRDefault="00C237A1" w:rsidP="008B2AD3">
      <w:pPr>
        <w:spacing w:line="480" w:lineRule="auto"/>
        <w:ind w:firstLine="720"/>
        <w:jc w:val="both"/>
        <w:rPr>
          <w:lang w:val="en-US"/>
        </w:rPr>
      </w:pPr>
      <w:r w:rsidRPr="006907F5">
        <w:rPr>
          <w:lang w:val="en-US"/>
        </w:rPr>
        <w:t>Many issues have not been solved just yet regarding the whole issue on cloning. The criteria in which the entire process will be undertaken is still a massive issue in the sense that even if the cloning process is universally accepted, there are still many issues regarding the application and how well to carry out these operations. Therefore, a structured process needs to be incorporated into the process to ensure that the process is done more immediately. How the cloning process is carried out in itself is not convincing at all. Many issues within cloning have been left pending which leaves the whole process being half resolved thus it is very difficult to argue for an underdeveloped technological advancement although it is quite evident that section of cloning can be beneficial to individuals since various factors can be easily considered (</w:t>
      </w:r>
      <w:r w:rsidR="0029002C" w:rsidRPr="0029002C">
        <w:t>Markert &amp; Backer, 2003). </w:t>
      </w:r>
    </w:p>
    <w:p w14:paraId="4B7D9F5B" w14:textId="032337B8" w:rsidR="006907F5" w:rsidRPr="006907F5" w:rsidRDefault="00C237A1" w:rsidP="008B2AD3">
      <w:pPr>
        <w:spacing w:line="480" w:lineRule="auto"/>
        <w:ind w:firstLine="720"/>
        <w:jc w:val="both"/>
        <w:rPr>
          <w:lang w:val="en-US"/>
        </w:rPr>
      </w:pPr>
      <w:r>
        <w:rPr>
          <w:lang w:val="en-US"/>
        </w:rPr>
        <w:fldChar w:fldCharType="begin" w:fldLock="1"/>
      </w:r>
      <w:r>
        <w:rPr>
          <w:lang w:val="en-US"/>
        </w:rPr>
        <w:instrText>ADDIN CSL_CITATION {"citationItems":[{"id":"ITEM-1","itemData":{"DOI":"10.1038/ncomms12359","ISSN":"20411723","abstract":"The health of cloned animals generated by somatic-cell nuclear transfer (SCNT) has been of concern since its inception; however, there are no detailed assessments of late-onset, non-communicable diseases. Here we report that SCNT has no obvious detrimental long-term health effects in a cohort of 13 cloned sheep. We perform musculoskeletal assessments, metabolic tests and blood pressure measurements in 13 aged (7-9 years old) cloned sheep, including four derived from the cell line that gave rise to Dolly. We also perform radiological examinations of all main joints, including the knees, the joint most affected by osteoarthritis in Dolly, and compare all health parameters to groups of 5-and 6-year-old sheep, and published reference ranges. Despite their advanced age, these clones are euglycaemic, insulin sensitive and normotensive. Importantly, we observe no clinical signs of degenerative joint disease apart from mild, or in one case moderate, osteoarthritis in some animals. Our study is the first to assess the long-term health outcomes of SCNT in large animals.","author":[{"dropping-particle":"","family":"Sinclair","given":"K. D.","non-dropping-particle":"","parse-names":false,"suffix":""},{"dropping-particle":"","family":"Corr","given":"S. A.","non-dropping-particle":"","parse-names":false,"suffix":""},{"dropping-particle":"","family":"Gutierrez","given":"C. G.","non-dropping-particle":"","parse-names":false,"suffix":""},{"dropping-particle":"","family":"Fisher","given":"P. A.","non-dropping-particle":"","parse-names":false,"suffix":""},{"dropping-particle":"","family":"Lee","given":"J. H.","non-dropping-particle":"","parse-names":false,"suffix":""},{"dropping-particle":"","family":"Rathbone","given":"A. J.","non-dropping-particle":"","parse-names":false,"suffix":""},{"dropping-particle":"","family":"Choi","given":"I.","non-dropping-particle":"","parse-names":false,"suffix":""},{"dropping-particle":"","family":"Campbell","given":"K. H.S.","non-dropping-particle":"","parse-names":false,"suffix":""},{"dropping-particle":"","family":"Gardner","given":"D. S.","non-dropping-particle":"","parse-names":false,"suffix":""}],"container-title":"Nature Communications","id":"ITEM-1","issued":{"date-parts":[["2016"]]},"title":"Healthy ageing of cloned sheep","type":"article-journal"},"uris":["http://www.mendeley.com/documents/?uuid=5fe92f24-cc15-4945-98d6-50312d7d71af","http://www.mendeley.com/documents/?uuid=4c764785-a8bf-44dd-a307-a1c665f708fe"]}],"mendeley":{"formattedCitation":"(Sinclair et al., 2016)","manualFormatting":"Sinclair et al. (2016)","plainTextFormattedCitation":"(Sinclair et al., 2016)","previouslyFormattedCitation":"(Sinclair et al., 2016)"},"properties":{"noteIndex":0},"schema":"https://github.com/citation-style-language/schema/raw/master/csl-citation.json"}</w:instrText>
      </w:r>
      <w:r>
        <w:rPr>
          <w:lang w:val="en-US"/>
        </w:rPr>
        <w:fldChar w:fldCharType="separate"/>
      </w:r>
      <w:r w:rsidRPr="008B2AD3">
        <w:rPr>
          <w:noProof/>
          <w:lang w:val="en-US"/>
        </w:rPr>
        <w:t>Sinclair et al.</w:t>
      </w:r>
      <w:r>
        <w:rPr>
          <w:noProof/>
          <w:lang w:val="en-US"/>
        </w:rPr>
        <w:t xml:space="preserve"> (</w:t>
      </w:r>
      <w:r w:rsidRPr="008B2AD3">
        <w:rPr>
          <w:noProof/>
          <w:lang w:val="en-US"/>
        </w:rPr>
        <w:t>2016)</w:t>
      </w:r>
      <w:r>
        <w:rPr>
          <w:lang w:val="en-US"/>
        </w:rPr>
        <w:fldChar w:fldCharType="end"/>
      </w:r>
      <w:r w:rsidRPr="006907F5">
        <w:rPr>
          <w:lang w:val="en-US"/>
        </w:rPr>
        <w:t xml:space="preserve"> focuses on the case of the first cloned mammal Dolly and develops an argument against human cloning because there are many holes to the whole process. The first mammal to be cloned back in 1997, named Dolly was considered a success and a new era in the world of medicine. However, its subsequent death left many questions about the whole process especially the ability to</w:t>
      </w:r>
      <w:r w:rsidR="00BB1E66">
        <w:rPr>
          <w:lang w:val="en-US"/>
        </w:rPr>
        <w:t xml:space="preserve"> manage</w:t>
      </w:r>
      <w:r w:rsidRPr="006907F5">
        <w:rPr>
          <w:lang w:val="en-US"/>
        </w:rPr>
        <w:t xml:space="preserve"> cloned species. These questions have not been answered ever since, and thus it seems that there is a lot to be developed regarding the process. </w:t>
      </w:r>
      <w:r w:rsidRPr="006907F5">
        <w:rPr>
          <w:lang w:val="en-US"/>
        </w:rPr>
        <w:lastRenderedPageBreak/>
        <w:t>The lack of answers regarding the cloning process shows that the whole process has not been fully integrated and crucial decisions made</w:t>
      </w:r>
      <w:r>
        <w:rPr>
          <w:lang w:val="en-US"/>
        </w:rPr>
        <w:t xml:space="preserve"> </w:t>
      </w:r>
      <w:r>
        <w:rPr>
          <w:lang w:val="en-US"/>
        </w:rPr>
        <w:fldChar w:fldCharType="begin" w:fldLock="1"/>
      </w:r>
      <w:r>
        <w:rPr>
          <w:lang w:val="en-US"/>
        </w:rPr>
        <w:instrText>ADDIN CSL_CITATION {"citationItems":[{"id":"ITEM-1","itemData":{"DOI":"10.1038/ncomms12359","ISSN":"20411723","abstract":"The health of cloned animals generated by somatic-cell nuclear transfer (SCNT) has been of concern since its inception; however, there are no detailed assessments of late-onset, non-communicable diseases. Here we report that SCNT has no obvious detrimental long-term health effects in a cohort of 13 cloned sheep. We perform musculoskeletal assessments, metabolic tests and blood pressure measurements in 13 aged (7-9 years old) cloned sheep, including four derived from the cell line that gave rise to Dolly. We also perform radiological examinations of all main joints, including the knees, the joint most affected by osteoarthritis in Dolly, and compare all health parameters to groups of 5-and 6-year-old sheep, and published reference ranges. Despite their advanced age, these clones are euglycaemic, insulin sensitive and normotensive. Importantly, we observe no clinical signs of degenerative joint disease apart from mild, or in one case moderate, osteoarthritis in some animals. Our study is the first to assess the long-term health outcomes of SCNT in large animals.","author":[{"dropping-particle":"","family":"Sinclair","given":"K. D.","non-dropping-particle":"","parse-names":false,"suffix":""},{"dropping-particle":"","family":"Corr","given":"S. A.","non-dropping-particle":"","parse-names":false,"suffix":""},{"dropping-particle":"","family":"Gutierrez","given":"C. G.","non-dropping-particle":"","parse-names":false,"suffix":""},{"dropping-particle":"","family":"Fisher","given":"P. A.","non-dropping-particle":"","parse-names":false,"suffix":""},{"dropping-particle":"","family":"Lee","given":"J. H.","non-dropping-particle":"","parse-names":false,"suffix":""},{"dropping-particle":"","family":"Rathbone","given":"A. J.","non-dropping-particle":"","parse-names":false,"suffix":""},{"dropping-particle":"","family":"Choi","given":"I.","non-dropping-particle":"","parse-names":false,"suffix":""},{"dropping-particle":"","family":"Campbell","given":"K. H.S.","non-dropping-particle":"","parse-names":false,"suffix":""},{"dropping-particle":"","family":"Gardner","given":"D. S.","non-dropping-particle":"","parse-names":false,"suffix":""}],"container-title":"Nature Communications","id":"ITEM-1","issued":{"date-parts":[["2016"]]},"title":"Healthy ageing of cloned sheep","type":"article-journal"},"uris":["http://www.mendeley.com/documents/?uuid=4c764785-a8bf-44dd-a307-a1c665f708fe"]}],"mendeley":{"formattedCitation":"(Sinclair et al., 2016)","plainTextFormattedCitation":"(Sinclair et al., 2016)","previouslyFormattedCitation":"(Sinclair et al., 2016)"},"properties":{"noteIndex":0},"schema":"https://github.com/citation-style-language/schema/raw/master/csl-citation.json"}</w:instrText>
      </w:r>
      <w:r>
        <w:rPr>
          <w:lang w:val="en-US"/>
        </w:rPr>
        <w:fldChar w:fldCharType="separate"/>
      </w:r>
      <w:r w:rsidRPr="008B2AD3">
        <w:rPr>
          <w:noProof/>
          <w:lang w:val="en-US"/>
        </w:rPr>
        <w:t>(Sinclair et al., 2016)</w:t>
      </w:r>
      <w:r>
        <w:rPr>
          <w:lang w:val="en-US"/>
        </w:rPr>
        <w:fldChar w:fldCharType="end"/>
      </w:r>
      <w:r>
        <w:rPr>
          <w:lang w:val="en-US"/>
        </w:rPr>
        <w:t>.</w:t>
      </w:r>
    </w:p>
    <w:p w14:paraId="65B6F0B5" w14:textId="3AF5FA6E" w:rsidR="006907F5" w:rsidRPr="006907F5" w:rsidRDefault="00C237A1" w:rsidP="008B2AD3">
      <w:pPr>
        <w:spacing w:line="480" w:lineRule="auto"/>
        <w:ind w:firstLine="720"/>
        <w:jc w:val="both"/>
        <w:rPr>
          <w:lang w:val="en-US"/>
        </w:rPr>
      </w:pPr>
      <w:r w:rsidRPr="006907F5">
        <w:rPr>
          <w:lang w:val="en-US"/>
        </w:rPr>
        <w:t>The ethical issues that have been reflected upon through the understanding of human genetic development are severe and require considerable effort and engagement of different stakeholders since these scientific developments involve various stakeholders. The healthcare professionals, in this case, have a significant role to play especially in convincing other players that human genetic development is meant for the best to human and does not violate any ethical aspects of different individuals within the society. It is essential to understand that some of these ethical issues involved in human genetic development include social problems, which are very much difficult to control</w:t>
      </w:r>
      <w:r w:rsidR="008B2AD3">
        <w:rPr>
          <w:lang w:val="en-US"/>
        </w:rPr>
        <w:t xml:space="preserve"> </w:t>
      </w:r>
      <w:r w:rsidR="008B2AD3">
        <w:rPr>
          <w:lang w:val="en-US"/>
        </w:rPr>
        <w:fldChar w:fldCharType="begin" w:fldLock="1"/>
      </w:r>
      <w:r w:rsidR="008B2AD3">
        <w:rPr>
          <w:lang w:val="en-US"/>
        </w:rPr>
        <w:instrText>ADDIN CSL_CITATION {"citationItems":[{"id":"ITEM-1","itemData":{"DOI":"10.1016/S0022-2836(02)00332-7","ISSN":"00222836","abstract":"These essays grew out of an effort at the EMBL to promote a new form of science communication on the social, ethical, and political issues that surround rapid change in the life sciences. Published in the Journal of Molecular Biology, these eighteen essays address the main topics of the future of the biosciences, biosciences and basic values, genomics and the globalization of biology, science miscommunication, and reproductive technologies. Hot topics such as cloning, genomics, reproductive technologies, heatlh care costs are addressed.Key Features* Significant to those in the life sciences and social sciences* Features an Introduction by Halldór Stefánsson * Published in conjunction with the prestigious European Molecular Biology Laboratory (EMBL)","author":[{"dropping-particle":"","family":"Rose","given":"Steven P.R.","non-dropping-particle":"","parse-names":false,"suffix":""}],"container-title":"Journal of Molecular Biology","id":"ITEM-1","issued":{"date-parts":[["2002"]]},"title":"The biology of the future and the future of biology","type":"article-journal"},"uris":["http://www.mendeley.com/documents/?uuid=23eaa543-c910-4332-946c-4667344d76f9","http://www.mendeley.com/documents/?uuid=084a9c92-53fb-4a61-849a-f161fdccdb77"]}],"mendeley":{"formattedCitation":"(Rose, 2002)","plainTextFormattedCitation":"(Rose, 2002)","previouslyFormattedCitation":"(Rose, 2002)"},"properties":{"noteIndex":0},"schema":"https://github.com/citation-style-language/schema/raw/master/csl-citation.json"}</w:instrText>
      </w:r>
      <w:r w:rsidR="008B2AD3">
        <w:rPr>
          <w:lang w:val="en-US"/>
        </w:rPr>
        <w:fldChar w:fldCharType="separate"/>
      </w:r>
      <w:r w:rsidR="008B2AD3" w:rsidRPr="008B2AD3">
        <w:rPr>
          <w:noProof/>
          <w:lang w:val="en-US"/>
        </w:rPr>
        <w:t>(Rose, 2002)</w:t>
      </w:r>
      <w:r w:rsidR="008B2AD3">
        <w:rPr>
          <w:lang w:val="en-US"/>
        </w:rPr>
        <w:fldChar w:fldCharType="end"/>
      </w:r>
      <w:r w:rsidRPr="006907F5">
        <w:rPr>
          <w:lang w:val="en-US"/>
        </w:rPr>
        <w:t xml:space="preserve">. </w:t>
      </w:r>
    </w:p>
    <w:p w14:paraId="2A3F2262" w14:textId="391ADFB4" w:rsidR="006907F5" w:rsidRDefault="00C237A1" w:rsidP="008B2AD3">
      <w:pPr>
        <w:spacing w:line="480" w:lineRule="auto"/>
        <w:ind w:firstLine="720"/>
        <w:jc w:val="both"/>
        <w:rPr>
          <w:lang w:val="en-US"/>
        </w:rPr>
      </w:pPr>
      <w:r w:rsidRPr="006907F5">
        <w:rPr>
          <w:lang w:val="en-US"/>
        </w:rPr>
        <w:t>Thus depending on the situation at hand, it is vital to ensure that better methodologies are developed for better engagement between the parties involved</w:t>
      </w:r>
      <w:r w:rsidR="0029002C">
        <w:rPr>
          <w:lang w:val="en-US"/>
        </w:rPr>
        <w:t>.</w:t>
      </w:r>
      <w:r w:rsidRPr="006907F5">
        <w:rPr>
          <w:lang w:val="en-US"/>
        </w:rPr>
        <w:t xml:space="preserve"> This means that for the human genetic development to be ethical sound, various sources of concerns that exist should be addressed to have a more comprehensive level of acceptance among the stakeholders involved.</w:t>
      </w:r>
      <w:r w:rsidR="0029002C">
        <w:rPr>
          <w:lang w:val="en-US"/>
        </w:rPr>
        <w:t xml:space="preserve"> There is a need to focus on solving these issues so that it would be possible to integrate cloning into the medical world effectively. Scientific research is aimed at providing a strong commitment to the underlying changes which help identify necessary changes which offer a unique emphasis on crucial elements that define the better level of development primarily based on the increasing medical challenges which can be effectively solved through cloning approaches</w:t>
      </w:r>
      <w:r w:rsidR="008B2AD3">
        <w:rPr>
          <w:lang w:val="en-US"/>
        </w:rPr>
        <w:t xml:space="preserve"> </w:t>
      </w:r>
      <w:r w:rsidR="008B2AD3">
        <w:rPr>
          <w:lang w:val="en-US"/>
        </w:rPr>
        <w:fldChar w:fldCharType="begin" w:fldLock="1"/>
      </w:r>
      <w:r w:rsidR="008B2AD3">
        <w:rPr>
          <w:lang w:val="en-US"/>
        </w:rPr>
        <w:instrText>ADDIN CSL_CITATION {"citationItems":[{"id":"ITEM-1","itemData":{"DOI":"10.1016/j.tplants.2011.02.006","ISSN":"13601385","abstract":"New sequencing technologies are dramatically accelerating progress in forward genetics, and the use of such methods for the rapid identification of mutant alleles will be soon routine in many laboratories. A straightforward extension will be the cloning of major-effect genetic variants in crop species. In the near future, it can be expected that mapping by sequencing will become a centerpiece in efforts to discover the genes responsible for quantitative trait loci. The largest impact, however, might come from the use of these strategies to extract genes from non-model, non-crop plants that exhibit heritable variation in important traits. Deployment of such genes to improve crops or engineer microbes that produce valuable compounds heralds a potential paradigm shift for plant biology. © 2011 Elsevier Ltd.","author":[{"dropping-particle":"","family":"Schneeberger","given":"Korbinian","non-dropping-particle":"","parse-names":false,"suffix":""},{"dropping-particle":"","family":"Weigel","given":"Detlef","non-dropping-particle":"","parse-names":false,"suffix":""}],"container-title":"Trends in Plant Science","id":"ITEM-1","issued":{"date-parts":[["2011"]]},"title":"Fast-forward genetics enabled by new sequencing technologies","type":"article"},"uris":["http://www.mendeley.com/documents/?uuid=d3ebafa3-0434-47a3-8486-defb299c8ff5","http://www.mendeley.com/documents/?uuid=b044bd24-cb7e-42fd-93a7-169f80bc4953"]}],"mendeley":{"formattedCitation":"(Schneeberger &amp; Weigel, 2011)","plainTextFormattedCitation":"(Schneeberger &amp; Weigel, 2011)","previouslyFormattedCitation":"(Schneeberger &amp; Weigel, 2011)"},"properties":{"noteIndex":0},"schema":"https://github.com/citation-style-language/schema/raw/master/csl-citation.json"}</w:instrText>
      </w:r>
      <w:r w:rsidR="008B2AD3">
        <w:rPr>
          <w:lang w:val="en-US"/>
        </w:rPr>
        <w:fldChar w:fldCharType="separate"/>
      </w:r>
      <w:r w:rsidR="008B2AD3" w:rsidRPr="008B2AD3">
        <w:rPr>
          <w:noProof/>
          <w:lang w:val="en-US"/>
        </w:rPr>
        <w:t>(Schneeberger &amp; Weigel, 2011)</w:t>
      </w:r>
      <w:r w:rsidR="008B2AD3">
        <w:rPr>
          <w:lang w:val="en-US"/>
        </w:rPr>
        <w:fldChar w:fldCharType="end"/>
      </w:r>
      <w:r w:rsidR="0029002C">
        <w:rPr>
          <w:lang w:val="en-US"/>
        </w:rPr>
        <w:t>.</w:t>
      </w:r>
    </w:p>
    <w:p w14:paraId="1B28D3F9" w14:textId="35712E67" w:rsidR="0029002C" w:rsidRDefault="00C237A1" w:rsidP="008B2AD3">
      <w:pPr>
        <w:spacing w:line="480" w:lineRule="auto"/>
        <w:ind w:firstLine="720"/>
        <w:jc w:val="both"/>
        <w:rPr>
          <w:lang w:val="en-US"/>
        </w:rPr>
      </w:pPr>
      <w:r w:rsidRPr="0029002C">
        <w:rPr>
          <w:lang w:val="en-US"/>
        </w:rPr>
        <w:t xml:space="preserve">Cloning is an excellent indication of the kind of technology that will be used by various scientists to try to solve the many complications that are being experienced in the health sector. There is a need to have a clear understanding of the initial stages that the whole process goes through and the ability of the existing individuals to accept the process as either a whole or part </w:t>
      </w:r>
      <w:r w:rsidRPr="0029002C">
        <w:rPr>
          <w:lang w:val="en-US"/>
        </w:rPr>
        <w:lastRenderedPageBreak/>
        <w:t>of the project. Although in some quarters human cloning is seen us trying to alter with how nature is, scientists have devised this mechanism, not for fun but to help various individuals across the globe so that they can also lead a kind of life that a reasonable person both physically and mentally is leading.</w:t>
      </w:r>
      <w:r>
        <w:rPr>
          <w:lang w:val="en-US"/>
        </w:rPr>
        <w:t xml:space="preserve"> The future of cloning is hinged on whether the underlying challenges can be adequately evaluated and solved to ensure that the process is based on better and positive outcomes within the medical world for the benefit of patients. </w:t>
      </w:r>
    </w:p>
    <w:p w14:paraId="520DE807" w14:textId="7A8B40BC" w:rsidR="0029002C" w:rsidRDefault="0029002C" w:rsidP="0029002C">
      <w:pPr>
        <w:rPr>
          <w:lang w:val="en-US"/>
        </w:rPr>
      </w:pPr>
    </w:p>
    <w:p w14:paraId="4B3F7797" w14:textId="2BABE287" w:rsidR="0029002C" w:rsidRDefault="0029002C" w:rsidP="0029002C">
      <w:pPr>
        <w:rPr>
          <w:lang w:val="en-US"/>
        </w:rPr>
      </w:pPr>
    </w:p>
    <w:p w14:paraId="7C1E2B82" w14:textId="28452C9B" w:rsidR="008B2AD3" w:rsidRDefault="008B2AD3" w:rsidP="0029002C">
      <w:pPr>
        <w:rPr>
          <w:lang w:val="en-US"/>
        </w:rPr>
      </w:pPr>
    </w:p>
    <w:p w14:paraId="00CD0B5B" w14:textId="55395BC1" w:rsidR="008B2AD3" w:rsidRDefault="008B2AD3" w:rsidP="0029002C">
      <w:pPr>
        <w:rPr>
          <w:lang w:val="en-US"/>
        </w:rPr>
      </w:pPr>
    </w:p>
    <w:p w14:paraId="1481CFB6" w14:textId="530A3AD4" w:rsidR="008B2AD3" w:rsidRDefault="008B2AD3" w:rsidP="0029002C">
      <w:pPr>
        <w:rPr>
          <w:lang w:val="en-US"/>
        </w:rPr>
      </w:pPr>
    </w:p>
    <w:p w14:paraId="4A7FBC52" w14:textId="21685F72" w:rsidR="008B2AD3" w:rsidRDefault="008B2AD3" w:rsidP="0029002C">
      <w:pPr>
        <w:rPr>
          <w:lang w:val="en-US"/>
        </w:rPr>
      </w:pPr>
    </w:p>
    <w:p w14:paraId="3C226118" w14:textId="0DF3B6E7" w:rsidR="008B2AD3" w:rsidRDefault="008B2AD3" w:rsidP="0029002C">
      <w:pPr>
        <w:rPr>
          <w:lang w:val="en-US"/>
        </w:rPr>
      </w:pPr>
    </w:p>
    <w:p w14:paraId="59BC85F2" w14:textId="306B8070" w:rsidR="008B2AD3" w:rsidRDefault="008B2AD3" w:rsidP="0029002C">
      <w:pPr>
        <w:rPr>
          <w:lang w:val="en-US"/>
        </w:rPr>
      </w:pPr>
    </w:p>
    <w:p w14:paraId="272B1544" w14:textId="3ADB9D9B" w:rsidR="008B2AD3" w:rsidRDefault="008B2AD3" w:rsidP="0029002C">
      <w:pPr>
        <w:rPr>
          <w:lang w:val="en-US"/>
        </w:rPr>
      </w:pPr>
    </w:p>
    <w:p w14:paraId="163A1D3A" w14:textId="4E7FEC59" w:rsidR="008B2AD3" w:rsidRDefault="008B2AD3" w:rsidP="0029002C">
      <w:pPr>
        <w:rPr>
          <w:lang w:val="en-US"/>
        </w:rPr>
      </w:pPr>
    </w:p>
    <w:p w14:paraId="1C9AE79A" w14:textId="7DB3CD8B" w:rsidR="008B2AD3" w:rsidRDefault="008B2AD3" w:rsidP="0029002C">
      <w:pPr>
        <w:rPr>
          <w:lang w:val="en-US"/>
        </w:rPr>
      </w:pPr>
    </w:p>
    <w:p w14:paraId="75E13C16" w14:textId="5CCB1C17" w:rsidR="008B2AD3" w:rsidRDefault="008B2AD3" w:rsidP="0029002C">
      <w:pPr>
        <w:rPr>
          <w:lang w:val="en-US"/>
        </w:rPr>
      </w:pPr>
    </w:p>
    <w:p w14:paraId="7701812F" w14:textId="0FC5D852" w:rsidR="008B2AD3" w:rsidRDefault="008B2AD3" w:rsidP="0029002C">
      <w:pPr>
        <w:rPr>
          <w:lang w:val="en-US"/>
        </w:rPr>
      </w:pPr>
    </w:p>
    <w:p w14:paraId="3408792A" w14:textId="441CFCA6" w:rsidR="008B2AD3" w:rsidRDefault="008B2AD3" w:rsidP="0029002C">
      <w:pPr>
        <w:rPr>
          <w:lang w:val="en-US"/>
        </w:rPr>
      </w:pPr>
    </w:p>
    <w:p w14:paraId="27155595" w14:textId="7880F078" w:rsidR="008B2AD3" w:rsidRDefault="008B2AD3" w:rsidP="0029002C">
      <w:pPr>
        <w:rPr>
          <w:lang w:val="en-US"/>
        </w:rPr>
      </w:pPr>
    </w:p>
    <w:p w14:paraId="05962668" w14:textId="6C4C0C2A" w:rsidR="008B2AD3" w:rsidRDefault="008B2AD3" w:rsidP="0029002C">
      <w:pPr>
        <w:rPr>
          <w:lang w:val="en-US"/>
        </w:rPr>
      </w:pPr>
    </w:p>
    <w:p w14:paraId="3C7BA3CA" w14:textId="6E475206" w:rsidR="008B2AD3" w:rsidRDefault="008B2AD3" w:rsidP="0029002C">
      <w:pPr>
        <w:rPr>
          <w:lang w:val="en-US"/>
        </w:rPr>
      </w:pPr>
    </w:p>
    <w:p w14:paraId="4122A19F" w14:textId="689F2AE6" w:rsidR="008B2AD3" w:rsidRDefault="008B2AD3" w:rsidP="0029002C">
      <w:pPr>
        <w:rPr>
          <w:lang w:val="en-US"/>
        </w:rPr>
      </w:pPr>
    </w:p>
    <w:p w14:paraId="3D3DA71A" w14:textId="0140595B" w:rsidR="008B2AD3" w:rsidRDefault="008B2AD3" w:rsidP="0029002C">
      <w:pPr>
        <w:rPr>
          <w:lang w:val="en-US"/>
        </w:rPr>
      </w:pPr>
    </w:p>
    <w:p w14:paraId="1CB0A16C" w14:textId="3F2D69E7" w:rsidR="008B2AD3" w:rsidRDefault="008B2AD3" w:rsidP="0029002C">
      <w:pPr>
        <w:rPr>
          <w:lang w:val="en-US"/>
        </w:rPr>
      </w:pPr>
    </w:p>
    <w:p w14:paraId="4C4494B4" w14:textId="7E098E03" w:rsidR="008B2AD3" w:rsidRDefault="008B2AD3" w:rsidP="0029002C">
      <w:pPr>
        <w:rPr>
          <w:lang w:val="en-US"/>
        </w:rPr>
      </w:pPr>
    </w:p>
    <w:p w14:paraId="4F99F403" w14:textId="6032F8B8" w:rsidR="008B2AD3" w:rsidRDefault="008B2AD3" w:rsidP="0029002C">
      <w:pPr>
        <w:rPr>
          <w:lang w:val="en-US"/>
        </w:rPr>
      </w:pPr>
    </w:p>
    <w:p w14:paraId="1E7C9EAF" w14:textId="2DE0725F" w:rsidR="008B2AD3" w:rsidRDefault="008B2AD3" w:rsidP="0029002C">
      <w:pPr>
        <w:rPr>
          <w:lang w:val="en-US"/>
        </w:rPr>
      </w:pPr>
    </w:p>
    <w:p w14:paraId="16907557" w14:textId="3EF24161" w:rsidR="008B2AD3" w:rsidRDefault="008B2AD3" w:rsidP="0029002C">
      <w:pPr>
        <w:rPr>
          <w:lang w:val="en-US"/>
        </w:rPr>
      </w:pPr>
    </w:p>
    <w:p w14:paraId="6EC2F79C" w14:textId="48A1FF8D" w:rsidR="008B2AD3" w:rsidRDefault="008B2AD3" w:rsidP="0029002C">
      <w:pPr>
        <w:rPr>
          <w:lang w:val="en-US"/>
        </w:rPr>
      </w:pPr>
    </w:p>
    <w:p w14:paraId="09D5A303" w14:textId="77777777" w:rsidR="008B2AD3" w:rsidRDefault="008B2AD3" w:rsidP="0029002C">
      <w:pPr>
        <w:rPr>
          <w:lang w:val="en-US"/>
        </w:rPr>
      </w:pPr>
    </w:p>
    <w:p w14:paraId="71F3550F" w14:textId="2C780B98" w:rsidR="0029002C" w:rsidRDefault="00C237A1" w:rsidP="008B2AD3">
      <w:pPr>
        <w:spacing w:line="480" w:lineRule="auto"/>
        <w:jc w:val="center"/>
        <w:rPr>
          <w:lang w:val="en-US"/>
        </w:rPr>
      </w:pPr>
      <w:r>
        <w:rPr>
          <w:lang w:val="en-US"/>
        </w:rPr>
        <w:t>References</w:t>
      </w:r>
    </w:p>
    <w:p w14:paraId="11B6A675" w14:textId="10E4C4F2" w:rsidR="0029002C" w:rsidRPr="0029002C" w:rsidRDefault="00C237A1" w:rsidP="008B2AD3">
      <w:pPr>
        <w:spacing w:line="480" w:lineRule="auto"/>
        <w:rPr>
          <w:lang w:val="en-US"/>
        </w:rPr>
      </w:pPr>
      <w:r w:rsidRPr="0029002C">
        <w:t>DiBerardino, M. A. (2002). </w:t>
      </w:r>
      <w:r w:rsidRPr="0029002C">
        <w:rPr>
          <w:i/>
          <w:iCs/>
        </w:rPr>
        <w:t>Cloning: Past, present, and exciting future</w:t>
      </w:r>
      <w:r w:rsidRPr="0029002C">
        <w:t>. Federation of American Societies for Experimental Biology (FASEB).</w:t>
      </w:r>
    </w:p>
    <w:p w14:paraId="49F4A580" w14:textId="11205E29" w:rsidR="008B2AD3" w:rsidRDefault="00C237A1" w:rsidP="008B2AD3">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8B2AD3">
        <w:rPr>
          <w:rFonts w:cs="Times New Roman"/>
          <w:noProof/>
          <w:szCs w:val="24"/>
        </w:rPr>
        <w:t xml:space="preserve">Gupta, P. K., Mir, R. R., Mohan, A., &amp; Kumar, J. (2014). Wheat genomics: Present status and future prospects. In </w:t>
      </w:r>
      <w:r w:rsidRPr="008B2AD3">
        <w:rPr>
          <w:rFonts w:cs="Times New Roman"/>
          <w:i/>
          <w:iCs/>
          <w:noProof/>
          <w:szCs w:val="24"/>
        </w:rPr>
        <w:t>The Role of Bioinformatics in Agriculture</w:t>
      </w:r>
      <w:r w:rsidRPr="008B2AD3">
        <w:rPr>
          <w:rFonts w:cs="Times New Roman"/>
          <w:noProof/>
          <w:szCs w:val="24"/>
        </w:rPr>
        <w:t>. https://doi.org/10.1201/b16568</w:t>
      </w:r>
    </w:p>
    <w:p w14:paraId="147A38BE" w14:textId="77777777" w:rsidR="008B2AD3" w:rsidRPr="008B2AD3" w:rsidRDefault="00C237A1" w:rsidP="008B2AD3">
      <w:pPr>
        <w:widowControl w:val="0"/>
        <w:autoSpaceDE w:val="0"/>
        <w:autoSpaceDN w:val="0"/>
        <w:adjustRightInd w:val="0"/>
        <w:spacing w:line="480" w:lineRule="auto"/>
        <w:ind w:left="480" w:hanging="480"/>
        <w:rPr>
          <w:rFonts w:cs="Times New Roman"/>
          <w:noProof/>
          <w:szCs w:val="24"/>
        </w:rPr>
      </w:pPr>
      <w:r w:rsidRPr="008B2AD3">
        <w:rPr>
          <w:rFonts w:cs="Times New Roman"/>
          <w:noProof/>
          <w:szCs w:val="24"/>
        </w:rPr>
        <w:t>Gurdon, J. B., &amp; Colman, A. (1999). The future of cloning. </w:t>
      </w:r>
      <w:r w:rsidRPr="008B2AD3">
        <w:rPr>
          <w:rFonts w:cs="Times New Roman"/>
          <w:i/>
          <w:iCs/>
          <w:noProof/>
          <w:szCs w:val="24"/>
        </w:rPr>
        <w:t>Nature</w:t>
      </w:r>
      <w:r w:rsidRPr="008B2AD3">
        <w:rPr>
          <w:rFonts w:cs="Times New Roman"/>
          <w:noProof/>
          <w:szCs w:val="24"/>
        </w:rPr>
        <w:t>, </w:t>
      </w:r>
      <w:r w:rsidRPr="008B2AD3">
        <w:rPr>
          <w:rFonts w:cs="Times New Roman"/>
          <w:i/>
          <w:iCs/>
          <w:noProof/>
          <w:szCs w:val="24"/>
        </w:rPr>
        <w:t>402</w:t>
      </w:r>
      <w:r w:rsidRPr="008B2AD3">
        <w:rPr>
          <w:rFonts w:cs="Times New Roman"/>
          <w:noProof/>
          <w:szCs w:val="24"/>
        </w:rPr>
        <w:t>(6763), 743.</w:t>
      </w:r>
    </w:p>
    <w:p w14:paraId="745207CD" w14:textId="77777777" w:rsidR="008B2AD3" w:rsidRPr="008B2AD3" w:rsidRDefault="00C237A1" w:rsidP="008B2AD3">
      <w:pPr>
        <w:widowControl w:val="0"/>
        <w:autoSpaceDE w:val="0"/>
        <w:autoSpaceDN w:val="0"/>
        <w:adjustRightInd w:val="0"/>
        <w:spacing w:line="480" w:lineRule="auto"/>
        <w:ind w:left="480" w:hanging="480"/>
        <w:rPr>
          <w:rFonts w:cs="Times New Roman"/>
          <w:noProof/>
          <w:szCs w:val="24"/>
        </w:rPr>
      </w:pPr>
      <w:r w:rsidRPr="008B2AD3">
        <w:rPr>
          <w:rFonts w:cs="Times New Roman"/>
          <w:noProof/>
          <w:szCs w:val="24"/>
        </w:rPr>
        <w:t>Markert, L. R., &amp; Backer, P. R. (2003). </w:t>
      </w:r>
      <w:r w:rsidRPr="008B2AD3">
        <w:rPr>
          <w:rFonts w:cs="Times New Roman"/>
          <w:i/>
          <w:iCs/>
          <w:noProof/>
          <w:szCs w:val="24"/>
        </w:rPr>
        <w:t>Contemporary technology: Innovations, issues, and perspectives</w:t>
      </w:r>
      <w:r w:rsidRPr="008B2AD3">
        <w:rPr>
          <w:rFonts w:cs="Times New Roman"/>
          <w:noProof/>
          <w:szCs w:val="24"/>
        </w:rPr>
        <w:t>. Goodheart-Willcox.</w:t>
      </w:r>
    </w:p>
    <w:p w14:paraId="497DF777" w14:textId="77777777" w:rsidR="008B2AD3" w:rsidRPr="008B2AD3" w:rsidRDefault="00C237A1" w:rsidP="008B2AD3">
      <w:pPr>
        <w:widowControl w:val="0"/>
        <w:autoSpaceDE w:val="0"/>
        <w:autoSpaceDN w:val="0"/>
        <w:adjustRightInd w:val="0"/>
        <w:spacing w:line="480" w:lineRule="auto"/>
        <w:ind w:left="480" w:hanging="480"/>
        <w:rPr>
          <w:rFonts w:cs="Times New Roman"/>
          <w:noProof/>
          <w:szCs w:val="24"/>
        </w:rPr>
      </w:pPr>
      <w:r w:rsidRPr="008B2AD3">
        <w:rPr>
          <w:rFonts w:cs="Times New Roman"/>
          <w:noProof/>
          <w:szCs w:val="24"/>
        </w:rPr>
        <w:t xml:space="preserve">Rose, S. P. R. (2002). The biology of the future and the future of biology. </w:t>
      </w:r>
      <w:r w:rsidRPr="008B2AD3">
        <w:rPr>
          <w:rFonts w:cs="Times New Roman"/>
          <w:i/>
          <w:iCs/>
          <w:noProof/>
          <w:szCs w:val="24"/>
        </w:rPr>
        <w:t>Journal of Molecular Biology</w:t>
      </w:r>
      <w:r w:rsidRPr="008B2AD3">
        <w:rPr>
          <w:rFonts w:cs="Times New Roman"/>
          <w:noProof/>
          <w:szCs w:val="24"/>
        </w:rPr>
        <w:t>. https://doi.org/10.1016/S0022-2836(02)00332-7</w:t>
      </w:r>
    </w:p>
    <w:p w14:paraId="008B7384" w14:textId="77777777" w:rsidR="008B2AD3" w:rsidRPr="008B2AD3" w:rsidRDefault="00C237A1" w:rsidP="008B2AD3">
      <w:pPr>
        <w:widowControl w:val="0"/>
        <w:autoSpaceDE w:val="0"/>
        <w:autoSpaceDN w:val="0"/>
        <w:adjustRightInd w:val="0"/>
        <w:spacing w:line="480" w:lineRule="auto"/>
        <w:ind w:left="480" w:hanging="480"/>
        <w:rPr>
          <w:rFonts w:cs="Times New Roman"/>
          <w:noProof/>
          <w:szCs w:val="24"/>
        </w:rPr>
      </w:pPr>
      <w:r w:rsidRPr="008B2AD3">
        <w:rPr>
          <w:rFonts w:cs="Times New Roman"/>
          <w:noProof/>
          <w:szCs w:val="24"/>
        </w:rPr>
        <w:t xml:space="preserve">Salvi, S., &amp; Tuberosa, R. (2005). To clone or not to clone plant QTLs: Present and future challenges. </w:t>
      </w:r>
      <w:r w:rsidRPr="008B2AD3">
        <w:rPr>
          <w:rFonts w:cs="Times New Roman"/>
          <w:i/>
          <w:iCs/>
          <w:noProof/>
          <w:szCs w:val="24"/>
        </w:rPr>
        <w:t>Trends in Plant Science</w:t>
      </w:r>
      <w:r w:rsidRPr="008B2AD3">
        <w:rPr>
          <w:rFonts w:cs="Times New Roman"/>
          <w:noProof/>
          <w:szCs w:val="24"/>
        </w:rPr>
        <w:t>. https://doi.org/10.1016/j.tplants.2005.04.008</w:t>
      </w:r>
    </w:p>
    <w:p w14:paraId="00DB35EC" w14:textId="77777777" w:rsidR="008B2AD3" w:rsidRPr="008B2AD3" w:rsidRDefault="00C237A1" w:rsidP="008B2AD3">
      <w:pPr>
        <w:widowControl w:val="0"/>
        <w:autoSpaceDE w:val="0"/>
        <w:autoSpaceDN w:val="0"/>
        <w:adjustRightInd w:val="0"/>
        <w:spacing w:line="480" w:lineRule="auto"/>
        <w:ind w:left="480" w:hanging="480"/>
        <w:rPr>
          <w:rFonts w:cs="Times New Roman"/>
          <w:noProof/>
          <w:szCs w:val="24"/>
        </w:rPr>
      </w:pPr>
      <w:r w:rsidRPr="008B2AD3">
        <w:rPr>
          <w:rFonts w:cs="Times New Roman"/>
          <w:noProof/>
          <w:szCs w:val="24"/>
        </w:rPr>
        <w:t xml:space="preserve">Schneeberger, K., &amp; Weigel, D. (2011). Fast-forward genetics enabled by new sequencing technologies. </w:t>
      </w:r>
      <w:r w:rsidRPr="008B2AD3">
        <w:rPr>
          <w:rFonts w:cs="Times New Roman"/>
          <w:i/>
          <w:iCs/>
          <w:noProof/>
          <w:szCs w:val="24"/>
        </w:rPr>
        <w:t>Trends in Plant Science</w:t>
      </w:r>
      <w:r w:rsidRPr="008B2AD3">
        <w:rPr>
          <w:rFonts w:cs="Times New Roman"/>
          <w:noProof/>
          <w:szCs w:val="24"/>
        </w:rPr>
        <w:t>. https://doi.org/10.1016/j.tplants.2011.02.006</w:t>
      </w:r>
    </w:p>
    <w:p w14:paraId="74B03D3A" w14:textId="77777777" w:rsidR="008B2AD3" w:rsidRPr="008B2AD3" w:rsidRDefault="00C237A1" w:rsidP="008B2AD3">
      <w:pPr>
        <w:widowControl w:val="0"/>
        <w:autoSpaceDE w:val="0"/>
        <w:autoSpaceDN w:val="0"/>
        <w:adjustRightInd w:val="0"/>
        <w:spacing w:line="480" w:lineRule="auto"/>
        <w:ind w:left="480" w:hanging="480"/>
        <w:rPr>
          <w:rFonts w:cs="Times New Roman"/>
          <w:noProof/>
        </w:rPr>
      </w:pPr>
      <w:r w:rsidRPr="008B2AD3">
        <w:rPr>
          <w:rFonts w:cs="Times New Roman"/>
          <w:noProof/>
          <w:szCs w:val="24"/>
        </w:rPr>
        <w:t xml:space="preserve">Sinclair, K. D., Corr, S. A., Gutierrez, C. G., Fisher, P. A., Lee, J. H., Rathbone, A. J., … Gardner, D. S. (2016). Healthy aging of cloned sheep. </w:t>
      </w:r>
      <w:r w:rsidRPr="008B2AD3">
        <w:rPr>
          <w:rFonts w:cs="Times New Roman"/>
          <w:i/>
          <w:iCs/>
          <w:noProof/>
          <w:szCs w:val="24"/>
        </w:rPr>
        <w:t>Nature Communications</w:t>
      </w:r>
      <w:r w:rsidRPr="008B2AD3">
        <w:rPr>
          <w:rFonts w:cs="Times New Roman"/>
          <w:noProof/>
          <w:szCs w:val="24"/>
        </w:rPr>
        <w:t>. https://doi.org/10.1038/ncomms12359</w:t>
      </w:r>
    </w:p>
    <w:p w14:paraId="05D6C799" w14:textId="69F64B24" w:rsidR="007A44D4" w:rsidRPr="000455F4" w:rsidRDefault="00C237A1" w:rsidP="008B2AD3">
      <w:pPr>
        <w:spacing w:line="480" w:lineRule="auto"/>
        <w:rPr>
          <w:lang w:val="en-US"/>
        </w:rPr>
      </w:pPr>
      <w:r>
        <w:rPr>
          <w:lang w:val="en-US"/>
        </w:rPr>
        <w:fldChar w:fldCharType="end"/>
      </w:r>
    </w:p>
    <w:p w14:paraId="00E5060D" w14:textId="204C053C" w:rsidR="000455F4" w:rsidRDefault="000455F4" w:rsidP="008B2AD3">
      <w:pPr>
        <w:spacing w:line="480" w:lineRule="auto"/>
      </w:pPr>
    </w:p>
    <w:p w14:paraId="1F71A1F8" w14:textId="655F7265" w:rsidR="000455F4" w:rsidRDefault="000455F4" w:rsidP="008B2AD3">
      <w:pPr>
        <w:spacing w:line="480" w:lineRule="auto"/>
      </w:pPr>
    </w:p>
    <w:p w14:paraId="66EDB0EE" w14:textId="77777777" w:rsidR="000455F4" w:rsidRDefault="000455F4" w:rsidP="008B2AD3">
      <w:pPr>
        <w:spacing w:line="480" w:lineRule="auto"/>
      </w:pPr>
    </w:p>
    <w:sectPr w:rsidR="000455F4" w:rsidSect="0029002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4F2AA" w14:textId="77777777" w:rsidR="008C766A" w:rsidRDefault="008C766A">
      <w:pPr>
        <w:spacing w:after="0" w:line="240" w:lineRule="auto"/>
      </w:pPr>
      <w:r>
        <w:separator/>
      </w:r>
    </w:p>
  </w:endnote>
  <w:endnote w:type="continuationSeparator" w:id="0">
    <w:p w14:paraId="18518092" w14:textId="77777777" w:rsidR="008C766A" w:rsidRDefault="008C7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4044E" w14:textId="77777777" w:rsidR="008C766A" w:rsidRDefault="008C766A">
      <w:pPr>
        <w:spacing w:after="0" w:line="240" w:lineRule="auto"/>
      </w:pPr>
      <w:r>
        <w:separator/>
      </w:r>
    </w:p>
  </w:footnote>
  <w:footnote w:type="continuationSeparator" w:id="0">
    <w:p w14:paraId="47E5183C" w14:textId="77777777" w:rsidR="008C766A" w:rsidRDefault="008C7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AA75C6" w14:textId="040C2BC6" w:rsidR="008B2AD3" w:rsidRDefault="00C237A1">
    <w:pPr>
      <w:pStyle w:val="Header"/>
      <w:jc w:val="right"/>
    </w:pPr>
    <w:r w:rsidRPr="008B2AD3">
      <w:rPr>
        <w:lang w:val="en-US"/>
      </w:rPr>
      <w:t>BRIEF HISTORY AND FUTURE OF CLONING</w:t>
    </w:r>
    <w:r w:rsidRPr="008B2AD3">
      <w:t xml:space="preserve"> </w:t>
    </w:r>
    <w:r w:rsidRPr="008B2AD3">
      <w:rPr>
        <w:lang w:val="en-US"/>
      </w:rPr>
      <w:t xml:space="preserve">  </w:t>
    </w:r>
    <w:r>
      <w:rPr>
        <w:lang w:val="en-US"/>
      </w:rPr>
      <w:t xml:space="preserve">                                                            </w:t>
    </w:r>
    <w:sdt>
      <w:sdtPr>
        <w:id w:val="3759831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A22DF6" w14:textId="77777777" w:rsidR="008B2AD3" w:rsidRDefault="008B2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FD383" w14:textId="358464F2" w:rsidR="0029002C" w:rsidRDefault="00C237A1">
    <w:pPr>
      <w:pStyle w:val="Header"/>
      <w:jc w:val="right"/>
    </w:pPr>
    <w:r>
      <w:rPr>
        <w:lang w:val="en-US"/>
      </w:rPr>
      <w:t xml:space="preserve">Running head: </w:t>
    </w:r>
    <w:r w:rsidRPr="0029002C">
      <w:rPr>
        <w:lang w:val="en-US"/>
      </w:rPr>
      <w:t>BRIEF HISTORY AND FUTURE OF CLONING</w:t>
    </w:r>
    <w:r w:rsidRPr="0029002C">
      <w:t xml:space="preserve"> </w:t>
    </w:r>
    <w:r>
      <w:rPr>
        <w:lang w:val="en-US"/>
      </w:rPr>
      <w:t xml:space="preserve">                                       </w:t>
    </w:r>
    <w:sdt>
      <w:sdtPr>
        <w:id w:val="17535513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2B0FC0" w14:textId="77777777" w:rsidR="0029002C" w:rsidRDefault="002900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Q0NTIzMzUHYjNzAyUdpeDU4uLM/DyQAsNaAPSlqfksAAAA"/>
  </w:docVars>
  <w:rsids>
    <w:rsidRoot w:val="000455F4"/>
    <w:rsid w:val="000455F4"/>
    <w:rsid w:val="00094B34"/>
    <w:rsid w:val="0029002C"/>
    <w:rsid w:val="005D4714"/>
    <w:rsid w:val="006907F5"/>
    <w:rsid w:val="007A44D4"/>
    <w:rsid w:val="007E3C2B"/>
    <w:rsid w:val="008B2AD3"/>
    <w:rsid w:val="008C766A"/>
    <w:rsid w:val="00AF6AB6"/>
    <w:rsid w:val="00BB1E66"/>
    <w:rsid w:val="00C237A1"/>
    <w:rsid w:val="00E0138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E1FF"/>
  <w15:chartTrackingRefBased/>
  <w15:docId w15:val="{F63A3F10-5238-40BC-A8B6-0C864A26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0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02C"/>
  </w:style>
  <w:style w:type="paragraph" w:styleId="Footer">
    <w:name w:val="footer"/>
    <w:basedOn w:val="Normal"/>
    <w:link w:val="FooterChar"/>
    <w:uiPriority w:val="99"/>
    <w:unhideWhenUsed/>
    <w:rsid w:val="002900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5BA11-DAE8-4A0C-B461-881619EF4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4207</Words>
  <Characters>23981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2019-05-10T09:05:00Z</dcterms:created>
  <dcterms:modified xsi:type="dcterms:W3CDTF">2019-05-10T09:05:00Z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